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143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751434">
        <w:rPr>
          <w:rFonts w:ascii="Times New Roman" w:hAnsi="Times New Roman" w:cs="Times New Roman"/>
          <w:sz w:val="24"/>
          <w:szCs w:val="24"/>
        </w:rPr>
        <w:t xml:space="preserve"> Załącznik Nr 2</w:t>
      </w:r>
    </w:p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51434">
        <w:rPr>
          <w:rFonts w:ascii="Times New Roman" w:hAnsi="Times New Roman" w:cs="Times New Roman"/>
          <w:sz w:val="24"/>
          <w:szCs w:val="24"/>
        </w:rPr>
        <w:tab/>
        <w:t>do uchwały Nr .........................</w:t>
      </w:r>
    </w:p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4"/>
          <w:szCs w:val="24"/>
        </w:rPr>
        <w:tab/>
        <w:t>z dnia ......................................</w:t>
      </w:r>
      <w:r w:rsidRPr="00751434">
        <w:rPr>
          <w:rFonts w:ascii="Times New Roman" w:hAnsi="Times New Roman" w:cs="Times New Roman"/>
          <w:sz w:val="28"/>
          <w:szCs w:val="28"/>
        </w:rPr>
        <w:tab/>
      </w:r>
    </w:p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1434">
        <w:rPr>
          <w:rFonts w:ascii="Times New Roman" w:hAnsi="Times New Roman" w:cs="Times New Roman"/>
          <w:b/>
          <w:bCs/>
          <w:sz w:val="30"/>
          <w:szCs w:val="30"/>
        </w:rPr>
        <w:t>Objaśnienia</w:t>
      </w:r>
      <w:r w:rsidRPr="007514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wartości przyjętych w wieloletniej prognozie finansowej</w:t>
      </w:r>
    </w:p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34">
        <w:rPr>
          <w:rFonts w:ascii="Times New Roman" w:hAnsi="Times New Roman" w:cs="Times New Roman"/>
          <w:b/>
          <w:bCs/>
          <w:sz w:val="30"/>
          <w:szCs w:val="30"/>
        </w:rPr>
        <w:t>Gminy Nowogródek Pomorski</w:t>
      </w:r>
    </w:p>
    <w:p w:rsidR="00751434" w:rsidRPr="00751434" w:rsidRDefault="00751434" w:rsidP="00751434">
      <w:pPr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34">
        <w:rPr>
          <w:rFonts w:ascii="Times New Roman" w:hAnsi="Times New Roman" w:cs="Times New Roman"/>
          <w:b/>
          <w:bCs/>
          <w:sz w:val="30"/>
          <w:szCs w:val="30"/>
        </w:rPr>
        <w:t>na lata 2014 - 2025</w:t>
      </w:r>
    </w:p>
    <w:p w:rsidR="00751434" w:rsidRPr="00751434" w:rsidRDefault="00751434" w:rsidP="007514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434" w:rsidRPr="00751434" w:rsidRDefault="00751434" w:rsidP="007514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dochodów  w latach  2014 – 2025  wykazanych w poz. 1.(str.1):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 xml:space="preserve">Dla roku 2014 przyjęto wartości z projektu budżetu na 2014r. natomiast w następnych latach 2015-2025 przyjęto wskaźnik wzrostu ok. 5% w stosunku do roku poprzedzającego rok budżetowy.  Ponadto w latach 2014-2018 zaplanowano dochody majątkowe z tytułu dotacji na realizację inwestycji w ramach dofinansowania  z  budżetu UE. </w:t>
      </w: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wydatków  w latach 2014-2025  wykazanych w poz. 2(str.2):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 xml:space="preserve">Dla roku 2014 przyjęto wartości z projektu budżetu na 2014r. W latach 2015 – 2025 planuje się dalsze ograniczanie wydatków bieżących w związku z koniecznością zachowania od 2014 r. zgodności budżetu i WPF z wymaganiami art. 243 </w:t>
      </w:r>
      <w:proofErr w:type="spellStart"/>
      <w:r w:rsidRPr="00751434">
        <w:rPr>
          <w:rFonts w:ascii="Times New Roman" w:hAnsi="Times New Roman" w:cs="Times New Roman"/>
          <w:sz w:val="28"/>
          <w:szCs w:val="28"/>
        </w:rPr>
        <w:t>ufp</w:t>
      </w:r>
      <w:proofErr w:type="spellEnd"/>
      <w:r w:rsidRPr="00751434">
        <w:rPr>
          <w:rFonts w:ascii="Times New Roman" w:hAnsi="Times New Roman" w:cs="Times New Roman"/>
          <w:sz w:val="28"/>
          <w:szCs w:val="28"/>
        </w:rPr>
        <w:t>, w związku z czym przyjęto realny wzrost wydatków  bieżących o ok. 2% w stosunku do roku poprzedzającego rok budżetowy.</w:t>
      </w: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wyniku (ów) budżetu  w latach 2015 - 2025 wykazanych w poz. 3 (str.2):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W 2014 r. budżet zamknął się wynikiem ujemnym w kwocie 1.490.000,- który planuje się pokryć z kredytów (pożyczek) długoterminowych w wysokości 1.490.000,-. Deficyt ten jest wynikiem dalszej realizacji inwestycji planowanych i rozpoczętych w latach wcześniejszych. W następnych latach 2015-2025 w związku z planowanym ograniczaniem wydatków bieżących występuje dodatni wynik budżetu.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przeznaczenia nadwyżek budżetu  w latach 2014 – 2025 wykazanych w poz. 3 i 10: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W roku 2014r. nie wystąpi nadwyżka budżetowa, natomiast  w latach następnych szacuje się, że zostanie wypracowana nadwyżka budżetowa, która  przeznaczona będzie na spłatę rat kredytu długoterminowego, a pozostała jej część wykorzystana zostanie na dalszą realizację inwestycji na terenie gminy.</w:t>
      </w: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sposobu sfinansowania deficytu budżetu roku  2014  wykazanego w poz. 3(str.2):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Planowany deficyt roku 2014 pokryty zostanie z  kredytu (pożyczki)  długoterminowego w kwocie 1.490.000,-</w:t>
      </w: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przychodów  roku 2014  wykazanych w poz. 4 (str.3):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 xml:space="preserve">W 2014 r. na przychody w kwocie 1.490.000,- kredyt (pożyczka)  długoterminowy w wysokości 1.490.000,00 </w:t>
      </w: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rozchodów  w latach 2014 - 2025 wykazanych w poz. 5: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W latach 2014-2025 spłata kredytu zaciągniętego w latach 2011r.  - 2013r. raz planowanego do zaciągnięcia w 2014r. Spłata rat kredytów nastąpi z wypracowanej nadwyżki budżetowej.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434" w:rsidRPr="00751434" w:rsidRDefault="00751434" w:rsidP="00751434">
      <w:pPr>
        <w:numPr>
          <w:ilvl w:val="0"/>
          <w:numId w:val="1"/>
        </w:numPr>
        <w:tabs>
          <w:tab w:val="left" w:pos="106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Dotyczy długu publicznego na koniec roku  2014 – 2025  wykazanych w poz. 6:</w:t>
      </w:r>
    </w:p>
    <w:p w:rsidR="00751434" w:rsidRPr="00751434" w:rsidRDefault="00751434" w:rsidP="0075143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40" w:after="0" w:line="24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>Objaśnienia:</w:t>
      </w:r>
    </w:p>
    <w:p w:rsidR="00751434" w:rsidRPr="00751434" w:rsidRDefault="00751434" w:rsidP="007514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434">
        <w:rPr>
          <w:rFonts w:ascii="Times New Roman" w:hAnsi="Times New Roman" w:cs="Times New Roman"/>
          <w:sz w:val="28"/>
          <w:szCs w:val="28"/>
        </w:rPr>
        <w:t xml:space="preserve">Planowana kwota długu publicznego na koniec 2014 r. wyniesie 8.246.541,17co daje 54,54% do planowanych dochodów ogółem, natomiast zadłużenie  po odliczeniu środków o których mowa  w art. 5 </w:t>
      </w:r>
      <w:proofErr w:type="spellStart"/>
      <w:r w:rsidRPr="00751434">
        <w:rPr>
          <w:rFonts w:ascii="Times New Roman" w:hAnsi="Times New Roman" w:cs="Times New Roman"/>
          <w:sz w:val="28"/>
          <w:szCs w:val="28"/>
        </w:rPr>
        <w:t>ufp</w:t>
      </w:r>
      <w:proofErr w:type="spellEnd"/>
      <w:r w:rsidRPr="00751434">
        <w:rPr>
          <w:rFonts w:ascii="Times New Roman" w:hAnsi="Times New Roman" w:cs="Times New Roman"/>
          <w:sz w:val="28"/>
          <w:szCs w:val="28"/>
        </w:rPr>
        <w:t xml:space="preserve"> wskaźnik zadłużenia wyniesie  35,36%. Spłata tego zadłużenia zaplanowana została na 12 kolejnych  lat, tj. do 2025r.</w:t>
      </w:r>
    </w:p>
    <w:p w:rsidR="00043A25" w:rsidRDefault="00043A25"/>
    <w:sectPr w:rsidR="00043A25" w:rsidSect="00557921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ind w:left="1066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8"/>
        <w:szCs w:val="2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51434"/>
    <w:rsid w:val="00043A25"/>
    <w:rsid w:val="00751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3A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51434"/>
    <w:pPr>
      <w:autoSpaceDE w:val="0"/>
      <w:autoSpaceDN w:val="0"/>
      <w:adjustRightInd w:val="0"/>
      <w:spacing w:after="0" w:line="240" w:lineRule="auto"/>
      <w:ind w:left="720" w:firstLine="709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1</cp:revision>
  <dcterms:created xsi:type="dcterms:W3CDTF">2013-11-29T09:02:00Z</dcterms:created>
  <dcterms:modified xsi:type="dcterms:W3CDTF">2013-11-29T09:03:00Z</dcterms:modified>
</cp:coreProperties>
</file>